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before="0" w:after="480"/>
        <w:jc w:val="center"/>
        <w:rPr>
          <w:rFonts w:ascii="Calibri;sans-serif" w:hAnsi="Calibri;sans-serif" w:eastAsia="Calibri" w:cs="Calibri;sans-serif"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</w:rPr>
      </w:pPr>
      <w:r>
        <w:rPr>
          <w:rFonts w:cs="Calibri" w:ascii="Calibri" w:hAnsi="Calibri"/>
          <w:b/>
          <w:sz w:val="28"/>
          <w:szCs w:val="28"/>
          <w:u w:val="single"/>
        </w:rPr>
        <w:t>RELAÇÃO DE MATERIAIS</w:t>
      </w:r>
    </w:p>
    <w:p>
      <w:pPr>
        <w:pStyle w:val="BodyText"/>
        <w:keepNext w:val="false"/>
        <w:keepLines w:val="false"/>
        <w:pageBreakBefore w:val="false"/>
        <w:widowControl/>
        <w:shd w:val="clear" w:fill="auto"/>
        <w:suppressAutoHyphens w:val="true"/>
        <w:bidi w:val="0"/>
        <w:spacing w:lineRule="auto" w:line="240" w:before="0" w:after="120"/>
        <w:ind w:hanging="0" w:left="0" w:right="0"/>
        <w:jc w:val="center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FF"/>
          <w:position w:val="0"/>
          <w:sz w:val="20"/>
          <w:sz w:val="20"/>
          <w:szCs w:val="20"/>
          <w:highlight w:val="none"/>
          <w:u w:val="none"/>
          <w:shd w:fill="auto" w:val="clear"/>
          <w:vertAlign w:val="baseline"/>
          <w:lang w:val="pt-BR"/>
        </w:rPr>
      </w:pPr>
      <w:bookmarkStart w:id="0" w:name="docs-internal-guid-072b7f24-7fff-9591-ce"/>
      <w:bookmarkEnd w:id="0"/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effect w:val="none"/>
          <w:shd w:fill="auto" w:val="clear"/>
          <w:vertAlign w:val="baseline"/>
          <w:lang w:val="pt-BR"/>
        </w:rPr>
        <w:t>ITEM 1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effect w:val="none"/>
          <w:shd w:fill="auto" w:val="clear"/>
          <w:vertAlign w:val="baseline"/>
          <w:lang w:val="pt-BR"/>
        </w:rPr>
        <w:t> - Serviços de adequação no depósito do almoxarifado de São José/SC. </w:t>
      </w:r>
    </w:p>
    <w:tbl>
      <w:tblPr>
        <w:tblW w:w="9575" w:type="dxa"/>
        <w:jc w:val="left"/>
        <w:tblInd w:w="169" w:type="dxa"/>
        <w:tblLayout w:type="fixed"/>
        <w:tblCellMar>
          <w:top w:w="28" w:type="dxa"/>
          <w:left w:w="115" w:type="dxa"/>
          <w:bottom w:w="28" w:type="dxa"/>
          <w:right w:w="115" w:type="dxa"/>
        </w:tblCellMar>
      </w:tblPr>
      <w:tblGrid>
        <w:gridCol w:w="1300"/>
        <w:gridCol w:w="6188"/>
        <w:gridCol w:w="2087"/>
      </w:tblGrid>
      <w:tr>
        <w:trPr/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dodatabela"/>
              <w:widowControl/>
              <w:bidi w:val="0"/>
              <w:spacing w:lineRule="auto" w:line="288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Projeto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Contedodatabela"/>
              <w:widowControl/>
              <w:bidi w:val="0"/>
              <w:spacing w:lineRule="auto" w:line="288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Materiais Indicados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dodatabela"/>
              <w:widowControl/>
              <w:bidi w:val="0"/>
              <w:spacing w:lineRule="auto" w:line="288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Referências</w:t>
            </w:r>
          </w:p>
        </w:tc>
      </w:tr>
      <w:tr>
        <w:trPr/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Adequações Depósito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Divisórias navais e portas com miolo semioco de, no mínimo, 35 mm, revestidas em pintura à base d’água, com secagem ultravioleta; modulação 1.205 mm, com montantes NTR (montante simples) de aço galvanizado; painéis e perfis metálicos na cor branca; fechadura tipo alavanca na cor prata com dobradiças. Vidro comum de 4 mm de espessura.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r>
          </w:p>
        </w:tc>
      </w:tr>
      <w:tr>
        <w:trPr/>
        <w:tc>
          <w:tcPr>
            <w:tcW w:w="13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Fechadura externa tipo alavanca, compatível para portas de 30 a 40 mm de espessura, alta resistência e acabamento cromado brilhante.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r>
          </w:p>
        </w:tc>
      </w:tr>
      <w:tr>
        <w:trPr/>
        <w:tc>
          <w:tcPr>
            <w:tcW w:w="13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Forro modular em PVC, modulação 625 x 1.250 mm, dimensões da placa 618x618 mm e 618x1.243 mm, espessura 10 mm, bordas retas (cantos arrendondados), com perfil de suspensão tipo T invertido com 24 mm de base, cor branca, resistência ao fogo Classe II A (em atendimento à NBR 9442), acabamento formulado com resina de PVC e aditivos (NBR 14285:1999).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r>
          </w:p>
        </w:tc>
      </w:tr>
      <w:tr>
        <w:trPr/>
        <w:tc>
          <w:tcPr>
            <w:tcW w:w="13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color w:val="0000FF"/>
                <w:sz w:val="20"/>
                <w:szCs w:val="20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 xml:space="preserve">Estrutura em perfis de aço galvanizado para fixação do forro em </w:t>
            </w:r>
            <w:r>
              <w:rPr>
                <w:rFonts w:eastAsia="Calibri" w:cs="Calibri" w:ascii="Calibri" w:hAnsi="Calibri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light steel frame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, com montantes de dimensões 90x0,95x6.000 mm, LE 230MPA / Z275G/m² (com abas de reforço).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color w:val="0000FF"/>
                <w:sz w:val="20"/>
                <w:szCs w:val="20"/>
                <w:lang w:val="pt-BR"/>
              </w:rPr>
            </w:pPr>
            <w:r>
              <w:rPr>
                <w:rFonts w:eastAsia="Calibri" w:cs="Calibri" w:ascii="Calibri" w:hAnsi="Calibri"/>
                <w:color w:val="0000FF"/>
                <w:sz w:val="20"/>
                <w:szCs w:val="20"/>
                <w:lang w:val="pt-BR"/>
              </w:rPr>
            </w:r>
          </w:p>
        </w:tc>
      </w:tr>
      <w:tr>
        <w:trPr/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Elétrico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Painéis em LED, formato quadrado (620x620X34 mm), temperatura de cor 4.100 K, potência 45 W, perfis na cor branca.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r>
          </w:p>
        </w:tc>
      </w:tr>
      <w:tr>
        <w:trPr/>
        <w:tc>
          <w:tcPr>
            <w:tcW w:w="13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Eletrodutos rígidos ¾” e caixas de interruptores na cor branca.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r>
          </w:p>
        </w:tc>
      </w:tr>
    </w:tbl>
    <w:p>
      <w:pPr>
        <w:pStyle w:val="BodyText"/>
        <w:widowControl/>
        <w:spacing w:before="0" w:after="120"/>
        <w:ind w:hanging="0" w:left="15" w:right="0"/>
        <w:rPr>
          <w:rFonts w:ascii="Calibri" w:hAnsi="Calibri" w:eastAsia="Calibri" w:cs="Calibri"/>
          <w:b w:val="false"/>
          <w:color w:val="0000FF"/>
          <w:sz w:val="20"/>
          <w:szCs w:val="20"/>
        </w:rPr>
      </w:pPr>
      <w:r>
        <w:rPr>
          <w:rFonts w:eastAsia="Calibri" w:cs="Calibri" w:ascii="Calibri" w:hAnsi="Calibri"/>
          <w:b w:val="false"/>
          <w:color w:val="0000FF"/>
          <w:sz w:val="20"/>
          <w:szCs w:val="20"/>
        </w:rPr>
        <w:br/>
      </w:r>
    </w:p>
    <w:p>
      <w:pPr>
        <w:pStyle w:val="BodyText"/>
        <w:widowControl/>
        <w:bidi w:val="0"/>
        <w:spacing w:lineRule="auto" w:line="288" w:before="0" w:after="120"/>
        <w:ind w:hanging="0" w:left="0" w:right="0"/>
        <w:jc w:val="center"/>
        <w:rPr>
          <w:rFonts w:ascii="Calibri" w:hAnsi="Calibri" w:eastAsia="Calibri" w:cs="Calibri"/>
          <w:b w:val="false"/>
          <w:color w:val="000000"/>
          <w:sz w:val="20"/>
          <w:szCs w:val="20"/>
          <w:highlight w:val="none"/>
          <w:shd w:fill="auto" w:val="clear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auto" w:val="clear"/>
        </w:rPr>
        <w:t>ITEM 2</w:t>
      </w:r>
      <w:r>
        <w:rPr>
          <w:rFonts w:eastAsia="Calibri" w:cs="Calibri" w:ascii="Calibri" w:hAnsi="Calibri"/>
          <w:b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auto" w:val="clear"/>
        </w:rPr>
        <w:t>  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auto" w:val="clear"/>
        </w:rPr>
        <w:t>- Serviços de adequação no depósito de urnas de Biguaçu/SC.</w:t>
      </w:r>
    </w:p>
    <w:tbl>
      <w:tblPr>
        <w:tblW w:w="9575" w:type="dxa"/>
        <w:jc w:val="left"/>
        <w:tblInd w:w="130" w:type="dxa"/>
        <w:tblLayout w:type="fixed"/>
        <w:tblCellMar>
          <w:top w:w="28" w:type="dxa"/>
          <w:left w:w="115" w:type="dxa"/>
          <w:bottom w:w="28" w:type="dxa"/>
          <w:right w:w="115" w:type="dxa"/>
        </w:tblCellMar>
      </w:tblPr>
      <w:tblGrid>
        <w:gridCol w:w="1300"/>
        <w:gridCol w:w="6238"/>
        <w:gridCol w:w="2037"/>
      </w:tblGrid>
      <w:tr>
        <w:trPr/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dodatabela"/>
              <w:widowControl/>
              <w:bidi w:val="0"/>
              <w:spacing w:lineRule="auto" w:line="288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Projeto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Contedodatabela"/>
              <w:widowControl/>
              <w:bidi w:val="0"/>
              <w:spacing w:lineRule="auto" w:line="288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Materiais Indicados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dodatabela"/>
              <w:widowControl/>
              <w:bidi w:val="0"/>
              <w:spacing w:lineRule="auto" w:line="288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Referências</w:t>
            </w:r>
          </w:p>
        </w:tc>
      </w:tr>
      <w:tr>
        <w:trPr/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Adequações Depósito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Divisórias navais e portas com miolo semioco de, no mínimo, 35 mm, revestidas em pintura à base d’água, com secagem ultravioleta; modulação 1.205 mm, com montantes NTR (montante simples) de aço galvanizado; painéis e perfis metálicos na cor branca; fechadura tipo alavanca na cor prata com dobradiças. Vidro comum de 4 mm de espessura.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r>
          </w:p>
        </w:tc>
      </w:tr>
      <w:tr>
        <w:trPr/>
        <w:tc>
          <w:tcPr>
            <w:tcW w:w="13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Fechadura externa tipo alavanca, compatível para portas de 30 a 40 mm de espessura, alta resistência e acabamento cromado brilhante.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r>
          </w:p>
        </w:tc>
      </w:tr>
      <w:tr>
        <w:trPr/>
        <w:tc>
          <w:tcPr>
            <w:tcW w:w="13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Forro modular em PVC, modulação 625 x 1.250 mm, dimensões da placa 618x618 mm e 618x1.243 mm, espessura 10 mm, bordas retas (cantos arrendondados), com perfil de suspensão tipo T invertido com 24 mm de base, cor branca, resistência ao fogo Classe II A (em atendimento à NBR 9442), acabamento formulado com resina de PVC e aditivos (NBR 14285:1999).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r>
          </w:p>
        </w:tc>
      </w:tr>
      <w:tr>
        <w:trPr/>
        <w:tc>
          <w:tcPr>
            <w:tcW w:w="13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Perfis de aço cartola ZAR 230 com revestimento Z275, 3 metros de comprimento e espessura de 0,80 mm.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r>
          </w:p>
        </w:tc>
      </w:tr>
      <w:tr>
        <w:trPr/>
        <w:tc>
          <w:tcPr>
            <w:tcW w:w="13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color w:val="0000FF"/>
                <w:sz w:val="20"/>
                <w:szCs w:val="20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 xml:space="preserve">Estrutura em perfis de aço galvanizado para fixação do forro em </w:t>
            </w:r>
            <w:r>
              <w:rPr>
                <w:rFonts w:eastAsia="Calibri" w:cs="Calibri" w:ascii="Calibri" w:hAnsi="Calibri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light steel frame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, com montantes de dimensões 90x0,95x6.000 mm, LE 230MPA / Z275G/m² (com abas de reforço).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color w:val="0000FF"/>
                <w:sz w:val="20"/>
                <w:szCs w:val="20"/>
                <w:lang w:val="pt-BR"/>
              </w:rPr>
            </w:pPr>
            <w:r>
              <w:rPr>
                <w:rFonts w:eastAsia="Calibri" w:cs="Calibri" w:ascii="Calibri" w:hAnsi="Calibri"/>
                <w:color w:val="0000FF"/>
                <w:sz w:val="20"/>
                <w:szCs w:val="20"/>
                <w:lang w:val="pt-BR"/>
              </w:rPr>
            </w:r>
          </w:p>
        </w:tc>
      </w:tr>
      <w:tr>
        <w:trPr/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Elétrico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Painéis em LED, formato quadrado (620x620X34 mm), temperatura de cor 4.100 K, potência 45 W, perfis na cor branca.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r>
          </w:p>
        </w:tc>
      </w:tr>
      <w:tr>
        <w:trPr/>
        <w:tc>
          <w:tcPr>
            <w:tcW w:w="13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  <w:t>Eletrodutos rígidos ¾” e caixas de interruptores na cor branca.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bidi w:val="0"/>
              <w:spacing w:lineRule="auto" w:line="288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effect w:val="none"/>
                <w:shd w:fill="auto" w:val="clear"/>
                <w:lang w:val="pt-BR"/>
              </w:rPr>
            </w:r>
          </w:p>
        </w:tc>
      </w:tr>
    </w:tbl>
    <w:p>
      <w:pPr>
        <w:pStyle w:val="normal11"/>
        <w:widowControl/>
        <w:shd w:val="clear" w:fill="auto"/>
        <w:spacing w:lineRule="auto" w:line="240" w:before="0" w:after="120"/>
        <w:ind w:firstLine="709" w:left="0" w:right="0"/>
        <w:jc w:val="both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FF"/>
          <w:sz w:val="20"/>
          <w:szCs w:val="20"/>
          <w:u w:val="none"/>
          <w:shd w:fill="auto" w:val="clear"/>
          <w:lang w:val="pt-BR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FF"/>
          <w:sz w:val="20"/>
          <w:szCs w:val="20"/>
          <w:u w:val="none"/>
          <w:shd w:fill="auto" w:val="clear"/>
          <w:lang w:val="pt-BR"/>
        </w:rPr>
      </w:r>
    </w:p>
    <w:p>
      <w:pPr>
        <w:pStyle w:val="Normal"/>
        <w:suppressAutoHyphens w:val="true"/>
        <w:spacing w:before="0" w:after="119"/>
        <w:ind w:left="0" w:right="0"/>
        <w:jc w:val="both"/>
        <w:rPr/>
      </w:pPr>
      <w:r>
        <w:rPr>
          <w:rFonts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  <w:t>OBSERVAÇÕES:</w:t>
      </w:r>
      <w:r>
        <w:rPr>
          <w:rFonts w:cs="Calibri"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  <w:t xml:space="preserve"> </w:t>
      </w:r>
    </w:p>
    <w:p>
      <w:pPr>
        <w:pStyle w:val="Normal"/>
        <w:suppressAutoHyphens w:val="true"/>
        <w:spacing w:before="0" w:after="119"/>
        <w:ind w:left="0" w:right="0"/>
        <w:jc w:val="both"/>
        <w:rPr>
          <w:rFonts w:ascii="Calibri" w:hAnsi="Calibri" w:cs="Calibri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</w:pPr>
      <w:r>
        <w:rPr>
          <w:rFonts w:cs="Calibri"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  <w:t>1) o uso da expressão “OU SIMILAR” na indicação de MARCAS / MODELOS / CÓDIGOS / REFERÊNCIAS será considerado alternativa e constitui motivo para a desclassificação da proposta (subitem 7.1.2.3 do edital);</w:t>
      </w:r>
    </w:p>
    <w:p>
      <w:pPr>
        <w:pStyle w:val="Normal"/>
        <w:suppressAutoHyphens w:val="true"/>
        <w:spacing w:before="0" w:after="119"/>
        <w:ind w:left="0" w:right="0"/>
        <w:jc w:val="both"/>
        <w:rPr>
          <w:rFonts w:ascii="Calibri" w:hAnsi="Calibri" w:cs="Calibri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</w:pPr>
      <w:r>
        <w:rPr>
          <w:rFonts w:cs="Calibri"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  <w:t>2) Não serão aceitos produtos de fabricantes que constem da listagem de empresas não-conformes no Programa Setorial da Qualidade – Tintas Imobiliárias, ligado ao Programa Brasileiro de Qualidade e Produtividade no Habitat – PBQP-H, do Ministério das Cidades.</w:t>
      </w:r>
    </w:p>
    <w:p>
      <w:pPr>
        <w:pStyle w:val="Normal"/>
        <w:suppressAutoHyphens w:val="true"/>
        <w:rPr>
          <w:rFonts w:ascii="Calibri" w:hAnsi="Calibri" w:cs="Calibri"/>
          <w:lang w:eastAsia="pt-BR"/>
        </w:rPr>
      </w:pPr>
      <w:r>
        <w:rPr>
          <w:rFonts w:cs="Calibri" w:ascii="Calibri" w:hAnsi="Calibri"/>
          <w:lang w:eastAsia="pt-BR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swiss"/>
    <w:pitch w:val="variable"/>
  </w:font>
  <w:font w:name="Tms Rmn">
    <w:altName w:val="Times New Roman"/>
    <w:charset w:val="00"/>
    <w:family w:val="roman"/>
    <w:pitch w:val="variable"/>
  </w:font>
  <w:font w:name="Calibri">
    <w:altName w:val="sans-serif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zh-CN" w:bidi="ar-SA"/>
    </w:rPr>
  </w:style>
  <w:style w:type="character" w:styleId="Fontepargpadro">
    <w:name w:val="Fonte parág. padrão"/>
    <w:qFormat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Arial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 Unicode MS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Arial Unicode M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BodyText2">
    <w:name w:val="Body Text 2"/>
    <w:basedOn w:val="Normal"/>
    <w:qFormat/>
    <w:pPr>
      <w:ind w:firstLine="709" w:left="0" w:right="0"/>
      <w:jc w:val="both"/>
    </w:pPr>
    <w:rPr>
      <w:sz w:val="24"/>
    </w:rPr>
  </w:style>
  <w:style w:type="paragraph" w:styleId="A102175">
    <w:name w:val="_A102175"/>
    <w:basedOn w:val="Normal"/>
    <w:qFormat/>
    <w:pPr>
      <w:ind w:firstLine="1296" w:left="2880" w:right="0"/>
      <w:jc w:val="both"/>
    </w:pPr>
    <w:rPr>
      <w:rFonts w:ascii="Tms Rmn;Times New Roman" w:hAnsi="Tms Rmn;Times New Roman" w:cs="Tms Rmn;Times New Roman"/>
      <w:sz w:val="24"/>
    </w:rPr>
  </w:style>
  <w:style w:type="paragraph" w:styleId="Contedodatabelauser">
    <w:name w:val="Conteúdo da tabela (user)"/>
    <w:basedOn w:val="Normal"/>
    <w:qFormat/>
    <w:pPr>
      <w:widowControl w:val="false"/>
      <w:suppressLineNumbers/>
    </w:pPr>
    <w:rPr/>
  </w:style>
  <w:style w:type="paragraph" w:styleId="Ttulodetabelauser">
    <w:name w:val="Título de tabela (user)"/>
    <w:basedOn w:val="Contedodatabelauser"/>
    <w:qFormat/>
    <w:pPr>
      <w:suppressLineNumbers/>
      <w:jc w:val="center"/>
    </w:pPr>
    <w:rPr>
      <w:b/>
      <w:bCs/>
    </w:rPr>
  </w:style>
  <w:style w:type="paragraph" w:styleId="normal111">
    <w:name w:val="normal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pt-BR" w:eastAsia="zh-CN" w:bidi="hi-IN"/>
    </w:rPr>
  </w:style>
  <w:style w:type="paragraph" w:styleId="normal3">
    <w:name w:val="normal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normal1">
    <w:name w:val="normal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4"/>
      <w:szCs w:val="24"/>
      <w:lang w:val="pt-BR" w:eastAsia="zh-CN" w:bidi="hi-IN"/>
    </w:rPr>
  </w:style>
  <w:style w:type="paragraph" w:styleId="normal11">
    <w:name w:val="normal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en-US" w:eastAsia="zh-CN" w:bidi="hi-IN"/>
    </w:rPr>
  </w:style>
  <w:style w:type="paragraph" w:styleId="Contedodatabela">
    <w:name w:val="Conteúdo da tabela"/>
    <w:basedOn w:val="normal11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54</TotalTime>
  <Application>LibreOffice/25.8.2.2$Windows_X86_64 LibreOffice_project/d401f2107ccab8f924a8e2df40f573aab7605b6f</Application>
  <AppVersion>15.0000</AppVersion>
  <Pages>2</Pages>
  <Words>513</Words>
  <Characters>2706</Characters>
  <CharactersWithSpaces>3192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2023-09-27T18:41:00Z</dcterms:created>
  <dc:creator>Carlos Ruas de Araújo</dc:creator>
  <dc:description/>
  <dc:language>pt-BR</dc:language>
  <cp:lastModifiedBy/>
  <dcterms:modified xsi:type="dcterms:W3CDTF">2025-11-13T15:59:31Z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